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7912CE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7C4C87" w:rsidP="0068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светильников серии «ДСП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7912CE">
        <w:rPr>
          <w:rFonts w:ascii="Arial" w:hAnsi="Arial" w:cs="Arial"/>
          <w:b/>
          <w:sz w:val="28"/>
          <w:szCs w:val="28"/>
        </w:rPr>
        <w:t>10</w:t>
      </w:r>
      <w:r w:rsidR="005E2140">
        <w:rPr>
          <w:rFonts w:ascii="Arial" w:hAnsi="Arial" w:cs="Arial"/>
          <w:b/>
          <w:sz w:val="28"/>
          <w:szCs w:val="28"/>
        </w:rPr>
        <w:t>0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1B0E94">
        <w:rPr>
          <w:rFonts w:ascii="Arial" w:hAnsi="Arial" w:cs="Arial"/>
          <w:b/>
          <w:sz w:val="28"/>
          <w:szCs w:val="28"/>
        </w:rPr>
        <w:t xml:space="preserve">1 </w:t>
      </w:r>
      <w:r w:rsidR="00684F1C" w:rsidRPr="00684F1C">
        <w:rPr>
          <w:rFonts w:ascii="Arial" w:hAnsi="Arial" w:cs="Arial"/>
          <w:b/>
          <w:sz w:val="28"/>
          <w:szCs w:val="28"/>
        </w:rPr>
        <w:t>«</w:t>
      </w:r>
      <w:r w:rsidR="00684F1C"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="00684F1C"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1B0E94">
        <w:rPr>
          <w:rFonts w:ascii="Arial" w:hAnsi="Arial" w:cs="Arial"/>
          <w:sz w:val="24"/>
          <w:szCs w:val="24"/>
        </w:rPr>
        <w:t xml:space="preserve">рии </w:t>
      </w:r>
      <w:r w:rsidR="007C4C87">
        <w:rPr>
          <w:rFonts w:ascii="Arial" w:hAnsi="Arial" w:cs="Arial"/>
          <w:sz w:val="24"/>
          <w:szCs w:val="24"/>
        </w:rPr>
        <w:t>ДСП</w:t>
      </w:r>
      <w:r w:rsidR="007912CE">
        <w:rPr>
          <w:rFonts w:ascii="Arial" w:hAnsi="Arial" w:cs="Arial"/>
          <w:sz w:val="24"/>
          <w:szCs w:val="24"/>
        </w:rPr>
        <w:t>-10</w:t>
      </w:r>
      <w:r w:rsidR="005E2140">
        <w:rPr>
          <w:rFonts w:ascii="Arial" w:hAnsi="Arial" w:cs="Arial"/>
          <w:sz w:val="24"/>
          <w:szCs w:val="24"/>
        </w:rPr>
        <w:t>0</w:t>
      </w:r>
      <w:r w:rsidR="001B0E94">
        <w:rPr>
          <w:rFonts w:ascii="Arial" w:hAnsi="Arial" w:cs="Arial"/>
          <w:sz w:val="24"/>
          <w:szCs w:val="24"/>
        </w:rPr>
        <w:t>-1 «</w:t>
      </w:r>
      <w:r w:rsidR="001B0E94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</w:t>
      </w:r>
      <w:r w:rsidR="007C4C87">
        <w:rPr>
          <w:rFonts w:ascii="Arial" w:hAnsi="Arial" w:cs="Arial"/>
          <w:sz w:val="24"/>
          <w:szCs w:val="24"/>
        </w:rPr>
        <w:t xml:space="preserve"> и в помещениях </w:t>
      </w:r>
      <w:r w:rsidRPr="00684F1C">
        <w:rPr>
          <w:rFonts w:ascii="Arial" w:hAnsi="Arial" w:cs="Arial"/>
          <w:sz w:val="24"/>
          <w:szCs w:val="24"/>
        </w:rPr>
        <w:t xml:space="preserve"> в целях обеспечения качеств</w:t>
      </w:r>
      <w:r w:rsidR="007C4C87">
        <w:rPr>
          <w:rFonts w:ascii="Arial" w:hAnsi="Arial" w:cs="Arial"/>
          <w:sz w:val="24"/>
          <w:szCs w:val="24"/>
        </w:rPr>
        <w:t xml:space="preserve">енного освещения </w:t>
      </w:r>
      <w:r w:rsidRPr="00684F1C">
        <w:rPr>
          <w:rFonts w:ascii="Arial" w:hAnsi="Arial" w:cs="Arial"/>
          <w:sz w:val="24"/>
          <w:szCs w:val="24"/>
        </w:rPr>
        <w:t xml:space="preserve"> площадей, мостов</w:t>
      </w:r>
      <w:r w:rsidR="007C4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4C87">
        <w:rPr>
          <w:rFonts w:ascii="Arial" w:hAnsi="Arial" w:cs="Arial"/>
          <w:sz w:val="24"/>
          <w:szCs w:val="24"/>
        </w:rPr>
        <w:t>производсвенных</w:t>
      </w:r>
      <w:proofErr w:type="spellEnd"/>
      <w:r w:rsidR="007C4C87">
        <w:rPr>
          <w:rFonts w:ascii="Arial" w:hAnsi="Arial" w:cs="Arial"/>
          <w:sz w:val="24"/>
          <w:szCs w:val="24"/>
        </w:rPr>
        <w:t xml:space="preserve"> помещений</w:t>
      </w:r>
      <w:r w:rsidRPr="00684F1C">
        <w:rPr>
          <w:rFonts w:ascii="Arial" w:hAnsi="Arial" w:cs="Arial"/>
          <w:sz w:val="24"/>
          <w:szCs w:val="24"/>
        </w:rPr>
        <w:t xml:space="preserve">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 алюминиевого профиля со стеклом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противоударного</w:t>
      </w:r>
      <w:proofErr w:type="spellEnd"/>
      <w:r w:rsidRPr="00684F1C">
        <w:rPr>
          <w:rFonts w:ascii="Arial" w:hAnsi="Arial" w:cs="Arial"/>
          <w:sz w:val="24"/>
          <w:szCs w:val="24"/>
        </w:rPr>
        <w:t xml:space="preserve">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1B0E94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«ДСП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7912CE">
              <w:rPr>
                <w:rFonts w:ascii="Arial" w:hAnsi="Arial" w:cs="Arial"/>
                <w:sz w:val="24"/>
                <w:szCs w:val="24"/>
              </w:rPr>
              <w:t>10</w:t>
            </w:r>
            <w:r w:rsidR="005E2140">
              <w:rPr>
                <w:rFonts w:ascii="Arial" w:hAnsi="Arial" w:cs="Arial"/>
                <w:sz w:val="24"/>
                <w:szCs w:val="24"/>
              </w:rPr>
              <w:t>0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B7BCA"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1B0E94" w:rsidRDefault="001B0E94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1B0E94" w:rsidRDefault="001B0E94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1B0E94" w:rsidRDefault="001B0E94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1B0E94">
              <w:rPr>
                <w:rFonts w:ascii="Arial" w:hAnsi="Arial" w:cs="Arial"/>
                <w:sz w:val="24"/>
                <w:szCs w:val="24"/>
              </w:rPr>
              <w:t>21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1B0E94" w:rsidRDefault="001B0E94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1B0E94" w:rsidRDefault="007912CE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0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086C74" w:rsidRDefault="007939FB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36335" cy="2344982"/>
            <wp:effectExtent l="0" t="0" r="2540" b="0"/>
            <wp:docPr id="5" name="Рисунок 5" descr="D:\OldData\Users\Юрий\Documents\коммерческая информация\сайт доработка\чертежи изделий\чертежи светильников\УСС 90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чертежи изделий\чертежи светильников\УСС 90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45" cy="23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FD" w:rsidRDefault="004263FD" w:rsidP="004263FD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7912CE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КСС светильника ДСП-10</w:t>
      </w:r>
      <w:r w:rsidR="001B0E94">
        <w:rPr>
          <w:rFonts w:ascii="Arial" w:hAnsi="Arial" w:cs="Arial"/>
          <w:sz w:val="24"/>
          <w:szCs w:val="24"/>
        </w:rPr>
        <w:t>0-1 «</w:t>
      </w:r>
      <w:r w:rsidR="001B0E94">
        <w:rPr>
          <w:rFonts w:ascii="Arial" w:hAnsi="Arial" w:cs="Arial"/>
          <w:sz w:val="24"/>
          <w:szCs w:val="24"/>
          <w:lang w:val="en-US"/>
        </w:rPr>
        <w:t>LUXLINE</w:t>
      </w:r>
      <w:r w:rsidR="001B0E94">
        <w:rPr>
          <w:rFonts w:ascii="Arial" w:hAnsi="Arial" w:cs="Arial"/>
          <w:sz w:val="24"/>
          <w:szCs w:val="24"/>
        </w:rPr>
        <w:t>»</w:t>
      </w:r>
      <w:r w:rsidR="00BC21EF">
        <w:rPr>
          <w:rFonts w:ascii="Arial" w:hAnsi="Arial" w:cs="Arial"/>
          <w:sz w:val="24"/>
          <w:szCs w:val="24"/>
        </w:rPr>
        <w:t xml:space="preserve"> типа «Д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21353E" w:rsidRDefault="0021353E" w:rsidP="007939FB">
      <w:pPr>
        <w:rPr>
          <w:rFonts w:ascii="Arial" w:hAnsi="Arial" w:cs="Arial"/>
          <w:sz w:val="24"/>
          <w:szCs w:val="24"/>
        </w:rPr>
      </w:pPr>
    </w:p>
    <w:p w:rsidR="0021353E" w:rsidRDefault="007939FB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01209" cy="1701209"/>
            <wp:effectExtent l="0" t="0" r="0" b="0"/>
            <wp:docPr id="6" name="Рисунок 6" descr="D:\OldData\Users\Юрий\Documents\коммерческая информация\сайт доработка\ксс изделий\ксс2\ДСП-9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ксс изделий\ксс2\ДСП-90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39" cy="17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7912CE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ДКУ-10</w:t>
      </w:r>
      <w:r w:rsidR="005E2140"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="001B0E94" w:rsidRPr="001B0E94">
        <w:rPr>
          <w:rFonts w:ascii="Arial" w:hAnsi="Arial" w:cs="Arial"/>
          <w:sz w:val="24"/>
          <w:szCs w:val="24"/>
        </w:rPr>
        <w:t xml:space="preserve">1 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  <w:r w:rsidR="00BC21EF">
        <w:rPr>
          <w:noProof/>
          <w:lang w:eastAsia="ru-RU"/>
        </w:rPr>
        <w:drawing>
          <wp:inline distT="0" distB="0" distL="0" distR="0">
            <wp:extent cx="3071274" cy="2105247"/>
            <wp:effectExtent l="0" t="0" r="0" b="0"/>
            <wp:docPr id="1" name="Рисунок 1" descr="D:\OldData\Users\Юрий\Documents\коммерческая информация\каталог 2015 информ вся\люкслайн обработанный\DSC0359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каталог 2015 информ вся\люкслайн обработанный\DSC03597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92" cy="21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/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50363" w:rsidRPr="00521678" w:rsidRDefault="00050363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lastRenderedPageBreak/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626FE8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1B0E94">
        <w:rPr>
          <w:rFonts w:ascii="Arial" w:hAnsi="Arial" w:cs="Arial"/>
          <w:sz w:val="24"/>
          <w:szCs w:val="24"/>
        </w:rPr>
        <w:t xml:space="preserve">одажи покупателю, но не более </w:t>
      </w:r>
      <w:r w:rsidR="001B0E94" w:rsidRPr="001B0E94">
        <w:rPr>
          <w:rFonts w:ascii="Arial" w:hAnsi="Arial" w:cs="Arial"/>
          <w:sz w:val="24"/>
          <w:szCs w:val="24"/>
        </w:rPr>
        <w:t>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lastRenderedPageBreak/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050363" w:rsidRPr="001B0E94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</w:p>
    <w:p w:rsidR="00050363" w:rsidRPr="00050363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Железнодорожная,3,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 w:rsidRPr="00050363">
        <w:rPr>
          <w:rFonts w:ascii="Arial" w:hAnsi="Arial" w:cs="Arial"/>
          <w:sz w:val="24"/>
          <w:szCs w:val="24"/>
        </w:rPr>
        <w:t>26.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1B0E94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Светильник ДСП</w:t>
      </w:r>
      <w:r w:rsidR="007912CE">
        <w:rPr>
          <w:rFonts w:ascii="Arial" w:hAnsi="Arial" w:cs="Arial"/>
          <w:sz w:val="24"/>
          <w:szCs w:val="24"/>
        </w:rPr>
        <w:t>-10</w:t>
      </w:r>
      <w:r w:rsidR="005E2140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050363" w:rsidRPr="001B0E94">
        <w:rPr>
          <w:rFonts w:ascii="Arial" w:hAnsi="Arial" w:cs="Arial"/>
          <w:sz w:val="24"/>
          <w:szCs w:val="24"/>
        </w:rPr>
        <w:t xml:space="preserve">1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7912CE">
        <w:rPr>
          <w:rFonts w:ascii="Arial" w:hAnsi="Arial" w:cs="Arial"/>
          <w:sz w:val="24"/>
          <w:szCs w:val="24"/>
        </w:rPr>
        <w:t>а</w:t>
      </w:r>
      <w:proofErr w:type="spellEnd"/>
      <w:r w:rsidR="007912CE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50363"/>
    <w:rsid w:val="00086C74"/>
    <w:rsid w:val="001B0E94"/>
    <w:rsid w:val="0021353E"/>
    <w:rsid w:val="00257C1B"/>
    <w:rsid w:val="004263FD"/>
    <w:rsid w:val="0045432A"/>
    <w:rsid w:val="004B4E4B"/>
    <w:rsid w:val="00521678"/>
    <w:rsid w:val="005E2140"/>
    <w:rsid w:val="00626FE8"/>
    <w:rsid w:val="00684F1C"/>
    <w:rsid w:val="006D6CE3"/>
    <w:rsid w:val="006E4039"/>
    <w:rsid w:val="006F6619"/>
    <w:rsid w:val="007912CE"/>
    <w:rsid w:val="007939FB"/>
    <w:rsid w:val="007C4C87"/>
    <w:rsid w:val="00936376"/>
    <w:rsid w:val="00BC0E93"/>
    <w:rsid w:val="00BC21EF"/>
    <w:rsid w:val="00C10DA2"/>
    <w:rsid w:val="00C12105"/>
    <w:rsid w:val="00CB7BCA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F32D-D4E5-4D93-B797-D0951EA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cp:lastPrinted>2016-01-03T18:36:00Z</cp:lastPrinted>
  <dcterms:created xsi:type="dcterms:W3CDTF">2016-01-03T18:35:00Z</dcterms:created>
  <dcterms:modified xsi:type="dcterms:W3CDTF">2019-10-30T11:31:00Z</dcterms:modified>
</cp:coreProperties>
</file>